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4A1862" w:rsidRDefault="004A1862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62">
        <w:rPr>
          <w:rFonts w:ascii="Times New Roman" w:hAnsi="Times New Roman" w:cs="Times New Roman"/>
          <w:b/>
          <w:sz w:val="28"/>
          <w:szCs w:val="28"/>
        </w:rPr>
        <w:t>«</w:t>
      </w:r>
      <w:r w:rsidR="006E6099">
        <w:rPr>
          <w:rFonts w:ascii="yandex-sans" w:hAnsi="yandex-sans"/>
          <w:color w:val="000000"/>
          <w:sz w:val="23"/>
          <w:szCs w:val="23"/>
          <w:shd w:val="clear" w:color="auto" w:fill="FFFFFF"/>
        </w:rPr>
        <w:t>Сестринское дело</w:t>
      </w:r>
      <w:r w:rsidRPr="004A1862">
        <w:rPr>
          <w:rFonts w:ascii="Times New Roman" w:hAnsi="Times New Roman" w:cs="Times New Roman"/>
          <w:b/>
          <w:sz w:val="28"/>
          <w:szCs w:val="28"/>
        </w:rPr>
        <w:t>»</w:t>
      </w:r>
    </w:p>
    <w:p w:rsidR="002928D2" w:rsidRPr="004A186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8D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Pr="004A1862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BA6" w:rsidRPr="006E6099" w:rsidRDefault="006E6099" w:rsidP="006E6099">
      <w:pPr>
        <w:pStyle w:val="Style3"/>
        <w:widowControl/>
        <w:tabs>
          <w:tab w:val="left" w:pos="2340"/>
        </w:tabs>
        <w:spacing w:line="240" w:lineRule="auto"/>
        <w:rPr>
          <w:b/>
          <w:sz w:val="2"/>
          <w:szCs w:val="2"/>
          <w:u w:val="single"/>
        </w:rPr>
      </w:pPr>
      <w:r w:rsidRPr="006E6099">
        <w:rPr>
          <w:color w:val="000000"/>
          <w:sz w:val="23"/>
          <w:szCs w:val="23"/>
          <w:u w:val="single"/>
          <w:shd w:val="clear" w:color="auto" w:fill="FFFFFF"/>
        </w:rPr>
        <w:t xml:space="preserve">                                                 </w:t>
      </w:r>
      <w:r w:rsidRPr="006923B1">
        <w:rPr>
          <w:color w:val="000000"/>
          <w:sz w:val="28"/>
          <w:szCs w:val="28"/>
          <w:u w:val="single"/>
          <w:shd w:val="clear" w:color="auto" w:fill="FFFFFF"/>
        </w:rPr>
        <w:t>Сестринское дело в терапии</w:t>
      </w:r>
      <w:r w:rsidRPr="006E6099">
        <w:rPr>
          <w:color w:val="000000"/>
          <w:sz w:val="23"/>
          <w:szCs w:val="23"/>
          <w:u w:val="single"/>
          <w:shd w:val="clear" w:color="auto" w:fill="FFFFFF"/>
        </w:rPr>
        <w:t xml:space="preserve">  </w:t>
      </w:r>
      <w:r w:rsidRPr="006E6099">
        <w:rPr>
          <w:b/>
          <w:sz w:val="28"/>
          <w:szCs w:val="28"/>
          <w:u w:val="single"/>
        </w:rPr>
        <w:t xml:space="preserve">                </w:t>
      </w:r>
      <w:r w:rsidR="00377BA6" w:rsidRPr="006E6099">
        <w:rPr>
          <w:b/>
          <w:sz w:val="2"/>
          <w:szCs w:val="2"/>
          <w:u w:val="single"/>
        </w:rPr>
        <w:t>______</w:t>
      </w:r>
      <w:r w:rsidR="00377BA6" w:rsidRPr="006E6099">
        <w:rPr>
          <w:sz w:val="2"/>
          <w:szCs w:val="2"/>
          <w:u w:val="single"/>
        </w:rPr>
        <w:t>_______________________________________</w:t>
      </w:r>
      <w:r w:rsidR="00377BA6" w:rsidRPr="006E6099">
        <w:rPr>
          <w:b/>
          <w:sz w:val="2"/>
          <w:szCs w:val="2"/>
          <w:u w:val="single"/>
        </w:rPr>
        <w:t>_</w:t>
      </w:r>
      <w:r w:rsidRPr="006E6099">
        <w:rPr>
          <w:b/>
          <w:sz w:val="2"/>
          <w:szCs w:val="2"/>
          <w:u w:val="single"/>
        </w:rPr>
        <w:t>_________________</w:t>
      </w:r>
      <w:r w:rsidR="00377BA6" w:rsidRPr="006E6099">
        <w:rPr>
          <w:b/>
          <w:sz w:val="2"/>
          <w:szCs w:val="2"/>
          <w:u w:val="single"/>
        </w:rPr>
        <w:t>_</w:t>
      </w:r>
    </w:p>
    <w:p w:rsidR="00377BA6" w:rsidRPr="004A1862" w:rsidRDefault="006E6099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177E13" w:rsidRDefault="00D15102" w:rsidP="0091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E13">
        <w:rPr>
          <w:rFonts w:ascii="Times New Roman" w:hAnsi="Times New Roman" w:cs="Times New Roman"/>
          <w:sz w:val="24"/>
          <w:szCs w:val="24"/>
        </w:rPr>
        <w:t xml:space="preserve">    </w:t>
      </w:r>
      <w:r w:rsidR="00913621" w:rsidRPr="00177E13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="00913621"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 образованием по специальности «</w:t>
      </w:r>
      <w:r w:rsidR="006E6099"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Сестринское дело</w:t>
      </w:r>
      <w:r w:rsidR="00913621"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913621" w:rsidRPr="00177E13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="00913621" w:rsidRPr="00177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6E6099"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Сестринское дело в терапии</w:t>
      </w:r>
      <w:r w:rsidR="00913621" w:rsidRPr="00177E1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13621" w:rsidRPr="00177E13">
        <w:rPr>
          <w:rFonts w:ascii="Times New Roman" w:hAnsi="Times New Roman" w:cs="Times New Roman"/>
          <w:sz w:val="24"/>
          <w:szCs w:val="24"/>
        </w:rPr>
        <w:t xml:space="preserve"> </w:t>
      </w:r>
      <w:r w:rsidR="00913621" w:rsidRPr="00177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="00913621" w:rsidRPr="00177E13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92104C" w:rsidRPr="0092104C" w:rsidRDefault="00DC7890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92104C"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 </w:t>
      </w:r>
      <w:r w:rsidRPr="0017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совершенствуются </w:t>
      </w:r>
      <w:r w:rsidR="0092104C"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</w:t>
      </w:r>
      <w:r w:rsidRPr="0017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92104C"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</w:t>
      </w:r>
      <w:r w:rsidRPr="0017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2104C"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компетенций,</w:t>
      </w:r>
      <w:r w:rsidRPr="0017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2104C"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среднего медицинского звена, работающих в терапевтических отделениях.</w:t>
      </w:r>
    </w:p>
    <w:p w:rsidR="00DC7890" w:rsidRPr="00177E13" w:rsidRDefault="00DC7890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Общие компетенции: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собственную деятельность, выбирать типовые методы и способы выполнения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задач, оценивать их выполнение и качество;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решения в стандартных и нестандартных ситуациях и нести за них ответственность;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поиск и использование информации, необходимой для эффективного выполнения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задач, профессионального и личностного развития;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информационно-коммуникационные технологии </w:t>
      </w:r>
      <w:proofErr w:type="gramStart"/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общаться с коллегами, руководством,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потребителями;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задачи профессионального и личностного развития, заниматься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самообразованием, осознанно планировать и осуществлять повышение квалификации;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условиях смены технологий в профессиональной деятельности;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 относиться к историческому наследию и культурным традициям народа, уважать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социальные, культурные и религиозные различия;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рабочее место с соблюдением требований охраны труда, производственной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санитарии, инфекционной и противопожарной безопасности.</w:t>
      </w:r>
    </w:p>
    <w:p w:rsidR="00DC7890" w:rsidRPr="00177E13" w:rsidRDefault="00DC7890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Профессиональные компетенции: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мероприятия по сохранению и укреплению здоровья населения, пациента и его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окружения;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санитарно-гигиеническое воспитание населения;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проведении профилактики инфекционных и неинфекционных заболеваний;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представлять информацию в понятном для пациента виде, объяснять ему суть вмешательств;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лечебно-диагностические вмешательства, взаимодействуя с участниками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лечебного процесса;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сотрудничать с взаимодействующими организациями и службами;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медикаментозные средства в соответствии с правилами их использования;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перемещать пациента с учетом правильной биомеханики тела сестры и пациента;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использования аппаратуры, оборудования и изделий медицинского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в ходе лечебно-диагностического процесса;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утвержденную медицинскую документацию;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реабилитационные мероприятия;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паллиативную помощь;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доврачебную помощь при неотложных состояниях и травмах;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оказании медицинской помощи при чрезвычайных ситуациях;</w:t>
      </w:r>
    </w:p>
    <w:p w:rsidR="0092104C" w:rsidRPr="0092104C" w:rsidRDefault="0092104C" w:rsidP="00921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взаимодействовать с членами профессиональной бригады и добровольными помощниками в</w:t>
      </w:r>
      <w:r w:rsidR="0017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чрезвычайных ситуаций.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377BA6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2325"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92325"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="00992325"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D15102" w:rsidRPr="004347B9" w:rsidRDefault="00D15102" w:rsidP="00D15102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347B9">
        <w:rPr>
          <w:rFonts w:ascii="Times New Roman" w:hAnsi="Times New Roman" w:cs="Times New Roman"/>
        </w:rPr>
        <w:t xml:space="preserve">Слушатель должен </w:t>
      </w:r>
      <w:r w:rsidRPr="004347B9">
        <w:rPr>
          <w:rFonts w:ascii="Times New Roman" w:hAnsi="Times New Roman" w:cs="Times New Roman"/>
          <w:b/>
        </w:rPr>
        <w:t>знать</w:t>
      </w:r>
      <w:r w:rsidRPr="004347B9">
        <w:rPr>
          <w:rFonts w:ascii="Times New Roman" w:hAnsi="Times New Roman" w:cs="Times New Roman"/>
        </w:rPr>
        <w:t>: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иные нормативные правовые акты Российской Федерации в сфере</w:t>
      </w:r>
      <w:r w:rsid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сестринского дела;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лечебно-диагностического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пропаганды здорового образа жизни;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эксплуатации медицинского инструментария и оборудования;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 показатели, характеризующие состояние здоровья населения и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медицинских организаций;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сбора, хранения и удаления отходов медицинских организаций;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функционирования бюджетно-страховой медицины и добровольного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страхования;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санологии</w:t>
      </w:r>
      <w:proofErr w:type="spellEnd"/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диетологии;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диспансеризации,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значимость заболеваний;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этику;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профессионального общения;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трудового законодательства;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риска, клинические проявления, осложнения, профилактику заболеваний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органов;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медицинской сестры при выполнении лечебно-диагностических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 терапевтическом отделении и кабинете;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ведения учетно-отчетной документации, основные виды медицинской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анатомию и физиологию внутренних органов;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симптоматику терапевтических заболеваний;</w:t>
      </w:r>
    </w:p>
    <w:p w:rsidR="00C32DCE" w:rsidRPr="00C32DCE" w:rsidRDefault="004347B9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DCE"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неотложные состояния у пациентов терапевтического профиля, тактику первой и</w:t>
      </w:r>
    </w:p>
    <w:p w:rsidR="00C32DCE" w:rsidRPr="00C32DCE" w:rsidRDefault="00C32DCE" w:rsidP="00C3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доврачебной помощи</w:t>
      </w:r>
      <w:r w:rsidR="004347B9"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BE5" w:rsidRPr="004347B9" w:rsidRDefault="00212BE5" w:rsidP="007B1A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A3F" w:rsidRPr="004347B9" w:rsidRDefault="00D15102" w:rsidP="007B1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347B9" w:rsidRPr="004347B9" w:rsidRDefault="004347B9" w:rsidP="006057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этапы сестринского процесса: проводить первичную сестринскую оценку, выявлять проблемы пациента, планировать сестринский уход, осуществлять запланированный уход, проводить текущую и итоговую 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ухода;</w:t>
      </w:r>
    </w:p>
    <w:p w:rsidR="004347B9" w:rsidRDefault="004347B9" w:rsidP="0060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лекарственную терапию по назначению врача;</w:t>
      </w:r>
    </w:p>
    <w:p w:rsidR="004347B9" w:rsidRDefault="004347B9" w:rsidP="0060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сестринские манипуляции (оказывать медицинские услуги);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пациента и семью правилам применения лекарственных средств и</w:t>
      </w:r>
    </w:p>
    <w:p w:rsid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лечебного питания;</w:t>
      </w:r>
    </w:p>
    <w:p w:rsid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(семью)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 и их осложнений;</w:t>
      </w:r>
    </w:p>
    <w:p w:rsid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в лечебной бригаде;</w:t>
      </w:r>
    </w:p>
    <w:p w:rsid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и доврачебную помощь;</w:t>
      </w:r>
    </w:p>
    <w:p w:rsid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учет, хранение, использование лекарственных средств;</w:t>
      </w:r>
    </w:p>
    <w:p w:rsid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стерилизацию медицинских инструментов, перевязочных средств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ухода за больными;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ассистировать при проведении врачом лечебно-диагностических манипуляций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амбулаторных и стационарных условиях;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подготовку пациентов </w:t>
      </w:r>
      <w:proofErr w:type="gramStart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proofErr w:type="gramEnd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исследованиям, процедурам,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операциям, к амбулаторному приему врача;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выполнение врачебных назначений;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уход за </w:t>
      </w:r>
      <w:proofErr w:type="spellStart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инкурабельными</w:t>
      </w:r>
      <w:proofErr w:type="spellEnd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больными;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отделении,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принципы этики;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учет, хранение, использование лекарственных средств;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нормативно-правовой, учетно-отчетной и медицинской документацией;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сбор и утилизацию медицинских отходов;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мероприятия по соблюдению санитарно-гигиенического режима,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</w:p>
    <w:p w:rsidR="004347B9" w:rsidRPr="004347B9" w:rsidRDefault="004347B9" w:rsidP="0043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</w:t>
      </w:r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предупреждению </w:t>
      </w:r>
      <w:proofErr w:type="spellStart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постинъекционных</w:t>
      </w:r>
      <w:proofErr w:type="spellEnd"/>
      <w:r w:rsidRPr="00434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осложнений, гепатита, ВИЧ-инфекции.</w:t>
      </w: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4A1862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5A2DBC" w:rsidRPr="009950BF" w:rsidRDefault="00992325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60B56" w:rsidRPr="004A186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50B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2DBC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5A2DBC" w:rsidRPr="009950BF">
        <w:rPr>
          <w:rFonts w:ascii="Times New Roman" w:hAnsi="Times New Roman" w:cs="Times New Roman"/>
          <w:b/>
          <w:sz w:val="24"/>
          <w:szCs w:val="24"/>
        </w:rPr>
        <w:t>«</w:t>
      </w:r>
      <w:r w:rsidR="009950BF" w:rsidRPr="009950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Сестринское дело в терапии</w:t>
      </w:r>
      <w:r w:rsidR="005A2DBC" w:rsidRPr="009950BF">
        <w:rPr>
          <w:rFonts w:ascii="Times New Roman" w:hAnsi="Times New Roman" w:cs="Times New Roman"/>
          <w:b/>
          <w:sz w:val="24"/>
          <w:szCs w:val="24"/>
        </w:rPr>
        <w:t>»</w:t>
      </w:r>
    </w:p>
    <w:p w:rsidR="00992325" w:rsidRPr="004A1862" w:rsidRDefault="00377BA6" w:rsidP="00CA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Цель:</w:t>
      </w: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4A1862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4A1862" w:rsidRDefault="00992325" w:rsidP="00CA5176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CA5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4A1862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4A186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>
        <w:rPr>
          <w:rFonts w:ascii="Times New Roman" w:hAnsi="Times New Roman" w:cs="Times New Roman"/>
          <w:sz w:val="24"/>
          <w:szCs w:val="24"/>
        </w:rPr>
        <w:t>«</w:t>
      </w:r>
      <w:r w:rsidR="009950BF">
        <w:rPr>
          <w:rFonts w:ascii="yandex-sans" w:hAnsi="yandex-sans"/>
          <w:color w:val="000000"/>
          <w:sz w:val="23"/>
          <w:szCs w:val="23"/>
          <w:shd w:val="clear" w:color="auto" w:fill="FFFFFF"/>
        </w:rPr>
        <w:t>Сестринское дело</w:t>
      </w:r>
      <w:r w:rsidR="00D15102">
        <w:rPr>
          <w:rFonts w:ascii="Times New Roman" w:hAnsi="Times New Roman" w:cs="Times New Roman"/>
          <w:sz w:val="24"/>
          <w:szCs w:val="24"/>
        </w:rPr>
        <w:t>»</w:t>
      </w:r>
      <w:r w:rsidR="004A1862">
        <w:rPr>
          <w:rFonts w:ascii="Times New Roman" w:hAnsi="Times New Roman" w:cs="Times New Roman"/>
          <w:sz w:val="24"/>
          <w:szCs w:val="24"/>
        </w:rPr>
        <w:t>.</w:t>
      </w:r>
    </w:p>
    <w:p w:rsidR="00992325" w:rsidRPr="004A1862" w:rsidRDefault="00377BA6" w:rsidP="004A1862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A1862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377BA6" w:rsidP="004A1862">
      <w:pPr>
        <w:spacing w:after="0"/>
        <w:ind w:right="-83" w:firstLine="2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4A1862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B847F3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71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Система и политика здравоохранения в РФ.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B847F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Концепция развития сестринского дела на современном этапе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B847F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Медицинская этика, деонтология, биоэтика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B847F3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50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Сестринское дело. Сестринский процесс в терапии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B847F3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50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медицинской сестры приемного отделения стационара и медсестры (палатной) терапевтических отделений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F8540D" w:rsidTr="00B847F3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F85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Сестринские технологии подготовки пациента к исследованиям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B847F3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Стандартизация медицинских услуг. Оценка качества медицинской помощи. Протоколы стандартизированных планов ухода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лекарственных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ревматизме, пороках сердца и острой </w:t>
            </w:r>
            <w:proofErr w:type="gram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недостаточности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F85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атеросклерозе, гипертонической болезни и хронической недостаточности кровообращения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бронхитах, пневмониях и </w:t>
            </w:r>
            <w:r w:rsidRPr="003D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бронхиальной астме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гнойных заболеваниях легких. Сестринский процесс при туберкулезе.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патологии желудка и кишечника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заболеваниях печени, желчного пузыря и поджелудочной железы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47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пиелонефритах, </w:t>
            </w:r>
            <w:proofErr w:type="spell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гломерулонефритах</w:t>
            </w:r>
            <w:proofErr w:type="spellEnd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мочекаменной болезни и хронической почечной недостаточности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анемиях. Сестринский процесс при лейкозах.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ревматоидном артрите и деформирующем </w:t>
            </w:r>
            <w:proofErr w:type="spell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остеоартрозе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47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сахарном диабете, диффузно - токсическом зобе,</w:t>
            </w:r>
          </w:p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гипотиреозе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795D78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47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аллергических реакциях </w:t>
            </w:r>
            <w:proofErr w:type="gram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немедленного</w:t>
            </w:r>
            <w:proofErr w:type="gramEnd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замедленного</w:t>
            </w:r>
          </w:p>
          <w:p w:rsidR="006C37BF" w:rsidRPr="003D7143" w:rsidRDefault="006C37BF" w:rsidP="00E5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1F0FA3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1F0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4A1862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4A18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77BA6" w:rsidRPr="004A1862" w:rsidRDefault="000266A3" w:rsidP="004A186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26C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0BF" w:rsidRPr="009950BF">
        <w:rPr>
          <w:rFonts w:ascii="Times New Roman" w:hAnsi="Times New Roman" w:cs="Times New Roman"/>
          <w:b/>
          <w:sz w:val="24"/>
          <w:szCs w:val="24"/>
        </w:rPr>
        <w:t>«</w:t>
      </w:r>
      <w:r w:rsidR="009950BF" w:rsidRPr="009950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Сестринское дело в терапии</w:t>
      </w:r>
      <w:r w:rsidR="009950BF" w:rsidRPr="009950BF">
        <w:rPr>
          <w:rFonts w:ascii="Times New Roman" w:hAnsi="Times New Roman" w:cs="Times New Roman"/>
          <w:b/>
          <w:sz w:val="24"/>
          <w:szCs w:val="24"/>
        </w:rPr>
        <w:t>»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70A7E" w:rsidRPr="004A1862" w:rsidTr="001F0FA3">
        <w:tc>
          <w:tcPr>
            <w:tcW w:w="675" w:type="dxa"/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714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Система и политика здравоохранения в РФ.</w:t>
            </w:r>
          </w:p>
        </w:tc>
        <w:tc>
          <w:tcPr>
            <w:tcW w:w="1559" w:type="dxa"/>
            <w:vAlign w:val="center"/>
          </w:tcPr>
          <w:p w:rsidR="00C70A7E" w:rsidRPr="003D7143" w:rsidRDefault="00C70A7E" w:rsidP="00F741C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70A7E" w:rsidRPr="003D7143" w:rsidRDefault="00C70A7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день</w:t>
            </w:r>
          </w:p>
          <w:p w:rsidR="00C70A7E" w:rsidRPr="003D7143" w:rsidRDefault="00C70A7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0A7E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Концепция развития сестринского дела на современном этапе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7C3637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Медицинская этика, деонтология, биоэтика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Сестринское дело. Сестринский процесс в терапии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A7E" w:rsidRPr="003D7143" w:rsidRDefault="00C70A7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6 день</w:t>
            </w:r>
          </w:p>
          <w:p w:rsidR="00C70A7E" w:rsidRPr="003D7143" w:rsidRDefault="00C70A7E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70A7E" w:rsidRPr="004A1862" w:rsidTr="00FE5B2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медицинской сестры приемного отделения стационара и медсестры (палатной) терапевтических отделений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Сестринские технологии подготовки пациента к исследованиям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Стандартизация медицинских услуг. Оценка качества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медицинской помощи. Протоколы стандартизированных планов ухода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лекарственных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ревматизме, пороках сердца и острой </w:t>
            </w:r>
            <w:proofErr w:type="gram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недостаточности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атеросклерозе, гипертонической болезни и хронической недостаточности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бронхитах, пневмониях и </w:t>
            </w:r>
            <w:r w:rsidRPr="003D71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бронхиальной астме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гнойных заболеваниях легких. Сестринский процесс при туберкулезе.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патологии желудка и кишечника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заболеваниях печени, желчного пузыря и поджелудочной железы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пи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елонефритах, </w:t>
            </w:r>
            <w:proofErr w:type="spell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гломерулонефритах</w:t>
            </w:r>
            <w:proofErr w:type="spellEnd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мочекаменной болезни и хронической почечной недостаточности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анемиях. Сестринский процесс при лейкозах.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ревматоидном артрите и деформирующем </w:t>
            </w:r>
            <w:proofErr w:type="spellStart"/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остеоартрозе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Сестринский процесс при сахарном диабет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е, диффузно - токсическом зобе,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гипотиреозе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0A7E" w:rsidRPr="004A1862" w:rsidTr="00FE5B2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Сестринский процесс при аллергических реакциях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немедленного и замедленного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7E" w:rsidRPr="003D7143" w:rsidRDefault="00C70A7E" w:rsidP="00F741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70A7E" w:rsidRPr="003D7143" w:rsidRDefault="00C70A7E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C7A" w:rsidRDefault="00E22C7A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340CD" w:rsidRPr="00664F63">
        <w:rPr>
          <w:rFonts w:ascii="Times New Roman" w:hAnsi="Times New Roman" w:cs="Times New Roman"/>
          <w:b/>
          <w:sz w:val="24"/>
          <w:szCs w:val="24"/>
        </w:rPr>
        <w:t>Содержание материала программы</w:t>
      </w:r>
    </w:p>
    <w:p w:rsidR="003D7FD3" w:rsidRPr="00664F63" w:rsidRDefault="003D7FD3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A3" w:rsidRPr="000124AC" w:rsidRDefault="00E22C7A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="009950BF" w:rsidRPr="0001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3637" w:rsidRPr="000124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Концепция развития сестринского дела на современном этапе</w:t>
      </w:r>
    </w:p>
    <w:p w:rsidR="000712C7" w:rsidRPr="000712C7" w:rsidRDefault="000712C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системе здравоохранения. Перспективы развития здравоохранения в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и регионе. Приоритетные концепции развития здравоохранения. Статистические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показатели, характеризующие состояние здоровья населения. Основы медицинского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страхования. Понятие о менеджменте в сестринском деле. Медицинский маркетинг.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и права в здравоохранении. Трудовое право, юридическая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 юридическая ответственность медицинской деятельности. Сестринское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Российской Федерации.</w:t>
      </w:r>
    </w:p>
    <w:p w:rsidR="003201A3" w:rsidRPr="000124AC" w:rsidRDefault="003201A3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A3" w:rsidRPr="000124AC" w:rsidRDefault="00E22C7A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="009950BF" w:rsidRPr="000124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712C7" w:rsidRPr="000124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Медицинская этика, деонтология, биоэтика</w:t>
      </w:r>
    </w:p>
    <w:p w:rsidR="000712C7" w:rsidRPr="000712C7" w:rsidRDefault="000712C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Сестринское дело - прикладная наука и вид деятельности. История развития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сестринского дела в России. Теория сестринского дела. Философия и история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сестринского дела. Общение в сестринском деле. Психология профессионального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в стрессовых ситуациях. Сестринская педагогика. Этика и деонтология.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Этический кодекс медсестры. Проблемы биоэтики. Ятрогенные заболевания. Эвтаназия.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Паллиативная сестринская помощь. Танатология. Сестринский процесс. Этапы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сестринского процесса. Сестринский диагноз. Сестринская история болезни. Основы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саналогии</w:t>
      </w:r>
      <w:proofErr w:type="spellEnd"/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Методы и средства санитарного просвещения. Роль сестринского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 в территориальных программах оздоровления населения. ПМСП. Принципы.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Элементы. Роль медсестры в ПМСП.</w:t>
      </w:r>
    </w:p>
    <w:p w:rsidR="003201A3" w:rsidRPr="000124AC" w:rsidRDefault="003201A3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849" w:rsidRPr="000124AC" w:rsidRDefault="00E22C7A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="009950BF" w:rsidRPr="0001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12C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 медицинской сестры приемного отделения стационара и медсестры (палатной) терапевтических отделений</w:t>
      </w:r>
    </w:p>
    <w:p w:rsidR="001F2457" w:rsidRPr="001F2457" w:rsidRDefault="001F245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Разновидности лечебно-профилактических учреждений (ЛПУ). Структура больницы. Назначение и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структурных подразделений больницы. Информационная система больничного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 Материальное оснащение приемных отделений. Работа медицинской сестры приемного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отделения. Правила и порядок приема больных, особенности приема тяжелобольных. Правила хранения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и порядок извещения родственников о поступившем больном. Виды и средства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транспортировки больного в отделение. Основы организации работы медсестры (палатной)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терапевтического отделения. Лечебно-охранительный режим. Организация рабочего места (постовой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палатной сестры). Основы делопроизводства. Юридическая защита и юридическая ответственность в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медицинских работников. Дисциплинарная, административная, гражданско-правовая</w:t>
      </w:r>
    </w:p>
    <w:p w:rsidR="001F2457" w:rsidRPr="001F2457" w:rsidRDefault="001F245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медицинских работников.</w:t>
      </w:r>
    </w:p>
    <w:p w:rsidR="00017C04" w:rsidRPr="000124AC" w:rsidRDefault="00017C04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459" w:rsidRPr="000124AC" w:rsidRDefault="00E22C7A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="009950BF" w:rsidRPr="0001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12C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Сестринские технологии подготовки пациента к исследованиям</w:t>
      </w:r>
    </w:p>
    <w:p w:rsidR="001F2457" w:rsidRPr="001F2457" w:rsidRDefault="001F245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методы исследования в клинике внутренних болезней (клинические,</w:t>
      </w:r>
      <w:proofErr w:type="gramEnd"/>
    </w:p>
    <w:p w:rsidR="001F2457" w:rsidRPr="001F2457" w:rsidRDefault="001F245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биохимические, бактериологические, рентгенологические, радиоизотопные, эндоскопические,</w:t>
      </w:r>
      <w:r w:rsid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ультразвуковые).</w:t>
      </w:r>
    </w:p>
    <w:p w:rsidR="00066C94" w:rsidRPr="000124AC" w:rsidRDefault="00066C94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F70" w:rsidRPr="000124AC" w:rsidRDefault="00E22C7A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 w:rsidR="009950BF" w:rsidRPr="000124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712C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Стандартизация медицинских услуг. Оценка качества медицинской помощи. Протоколы стандартизированных планов ухода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стандартах и стандартизации в здравоохранении. Определение терминологии: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планы, протокол, инструкция, стандарт процедуры. Цель стандартизации медицинских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основные задачи в области стандартизации медицинских услуг. Основные 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стандартизации. Структура системы комплексной стандартизации медицинских услуг. Нормативные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«качество», «эффективность» медицинской помощи. Актуальность проблемы.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качества сестринской помощи. Виды контроля качества медицинской помощи.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ведомственного и вневедомственного контроля качества медицинской помощи в учреждениях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здравоохранения. Цель контроля качества. Принципы организации экспертизы качества медицинской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помощи. Совершенствование контроля качества медицинской помощи населению РФ.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работы палатной медицинской сестры. Протоколы стандартизированных планов ухода.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их оформлению.</w:t>
      </w:r>
    </w:p>
    <w:p w:rsidR="00E56F70" w:rsidRPr="000124AC" w:rsidRDefault="00E56F70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0124AC" w:rsidRDefault="00E22C7A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 w:rsidR="009950BF" w:rsidRPr="00012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12C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лекарственных средств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фармакологии. Общая и частная фармакология. Классификация лекарственных средств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токсикологическим группам: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индифферентные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сильнодействующие, ядовитые. Краткая 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групп лекарственных препаратов: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сердечно-сосудистые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антибиотики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сульфаниламидные препараты, химиотерапевтические средства, витамины, анальгетики, снотворные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транквилизаторы, гормональные и антигистаминные препараты. Пути введения лекарственных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Всасывание.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Дозировавание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лекарств: разовые, суточные и курсовые дозы. Контроль качества лекарств.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Стандартизация. Распределение лекарственных средств в организме. Биологические барьеры,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депонирование. Пути выведения лекарственных средств из организма. Зависимость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фармакотерапевтического эффекта от свойств лекарственных средств и условий их применения.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индивидуальных особенностей организма и его состояния для проявления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средств: возраст, пол, состояние организма, значение суточных ритмов. Основное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побочное действие лекарственных препаратов. Идиосинкразия. Токсические эффекты.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Несовместимость лекарственных препаратов.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выписки и хранения лекарственных средств. Ведение учетной текущей документации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регламентирующими инструктивными материалами. Правила хранения и использования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ядовитых и наркотических лекарственных средств. Перечень лекарственных средств, подлежащих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предметно-количественному учету в лечебно-профилактических учреждениях. Перечень наркотических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(извлечение из списка наркотических средств), подлежащих предметно-количественному учету. Лекарственные средства, подлежащие хранению в холодильнике.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средства, несовместимые в одном шприце. Список медикаментов, необходимых для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экстренной помощ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Наборы лекарственных сре</w:t>
      </w:r>
      <w:proofErr w:type="gramStart"/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оказания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посиндромной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неотложной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порядок пополнения, учет, хранение и размещение. Алгоритм действия медицинской сестры в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 с лекарственными средствами.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0BF" w:rsidRPr="000124AC" w:rsidRDefault="000712C7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Pr="000124AC">
        <w:rPr>
          <w:rFonts w:ascii="Times New Roman" w:hAnsi="Times New Roman" w:cs="Times New Roman"/>
          <w:b/>
          <w:sz w:val="24"/>
          <w:szCs w:val="24"/>
        </w:rPr>
        <w:t xml:space="preserve">7: </w:t>
      </w:r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Сестринский процесс при ревматизме, пороках сердца и острой </w:t>
      </w:r>
      <w:proofErr w:type="gramStart"/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недостаточности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АФО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Последовательность сбора информации у пациентов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заболеваниями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Факторы, способствующие развитию заболеваний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внешние признаки сердечной патологии, выявляемые при осмотре.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Этиология, патогенез, диагностика ревматизма. Клиническая картина миокардитов, эндокардитов,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перикардитов. Понятие о ревмокардите и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панкардите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Принципы лечения и профилактики ревматизма.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Диспансерный метод наблюдения. Причины приобретенных пороков сердца. Нарушение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гемодинамики при пороках сердца. Симптомы декомпенсации. Настоящие, потенциальные и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проблемы пациентов с пороками сердца. Особенности диеты и принципы лечения.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Профилактика.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«острой сердечной недостаточности». Причины ОСН. Клинические варианты ОСН.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помощь. Отличительные признаки приступа сердечной астмы от приступа бронхиальной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астмы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рофилактика острой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недостаточности. Формы острой сосудистой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недостаточности. Определение, причины обморока, коллапса и шока. Клиническая картина различных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острой сосудистой недостаточности.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2C7" w:rsidRPr="000124AC" w:rsidRDefault="000712C7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Pr="000124AC">
        <w:rPr>
          <w:rFonts w:ascii="Times New Roman" w:hAnsi="Times New Roman" w:cs="Times New Roman"/>
          <w:b/>
          <w:sz w:val="24"/>
          <w:szCs w:val="24"/>
        </w:rPr>
        <w:t xml:space="preserve">8: </w:t>
      </w:r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атеросклерозе, гипертонической болезни и хронической недостаточности кровообращения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Атеросклероз. Факторы риска. Клинические формы. Особенности сестринского процесса. Проблемы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пациентов, принципы диагностики и лечения. Профилактика атеросклероза.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гипертонической болезни. Социальное и медицинское значение. Этиология, факторы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риска. Современная классификация. Современные клинические проявления. Особенности течения у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гериатрических больных. Возможные осложнения, тактика медсестры при гипертоническом кризе,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мозговом инсульте. Особенности сестринского процесса при гипертонической болезни. Проблемы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пациента. Особенности сестринского процесса у гериатрических больных. Современные принципы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лечения. Роль диеты. Основные группы лекарственных препаратов, применяемых при гипертонической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болезни.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хронической недостаточности кровообращения. Сущность и стадии хронической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 кровообращения (ХНК). Причины ХНК. Проявления хронической сердечной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 (ХСН). Проблемы пациентов с ХСН. Принципы лечения. Основные группы</w:t>
      </w:r>
      <w:r w:rsidR="00CC0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препаратов.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2C7" w:rsidRPr="000124AC" w:rsidRDefault="000712C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Pr="000124AC">
        <w:rPr>
          <w:rFonts w:ascii="Times New Roman" w:hAnsi="Times New Roman" w:cs="Times New Roman"/>
          <w:b/>
          <w:sz w:val="24"/>
          <w:szCs w:val="24"/>
        </w:rPr>
        <w:t>9:</w:t>
      </w:r>
      <w:r w:rsidR="001F2457"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Сестринский процесс при бронхитах, пневмониях и </w:t>
      </w:r>
      <w:r w:rsidR="001F2457" w:rsidRPr="000124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бронхиальной</w:t>
      </w:r>
      <w:r w:rsidR="001F2457" w:rsidRPr="00012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астме</w:t>
      </w:r>
    </w:p>
    <w:p w:rsidR="000124AC" w:rsidRPr="000124AC" w:rsidRDefault="000124AC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4AC">
        <w:rPr>
          <w:rFonts w:ascii="Times New Roman" w:hAnsi="Times New Roman" w:cs="Times New Roman"/>
          <w:color w:val="000000"/>
          <w:sz w:val="24"/>
          <w:szCs w:val="24"/>
        </w:rPr>
        <w:t>Анатомо-физиологические особенности органов дыхания. Сестринский процесс при бронхитах,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пневмониях и бронхиальной астме. Социальное значение заболеваний органов дыхания. Факторы,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способствующие развитию дыхательной патологии. Основные клинические проявления. Возможные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осложнения. Сестринский процесс. Выявление основных проблем пациентов и семьи. Особенности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 xml:space="preserve">патологии органов дыхания </w:t>
      </w:r>
      <w:proofErr w:type="gramStart"/>
      <w:r w:rsidRPr="000124A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124AC">
        <w:rPr>
          <w:rFonts w:ascii="Times New Roman" w:hAnsi="Times New Roman" w:cs="Times New Roman"/>
          <w:color w:val="000000"/>
          <w:sz w:val="24"/>
          <w:szCs w:val="24"/>
        </w:rPr>
        <w:t xml:space="preserve"> пожилых.</w:t>
      </w:r>
    </w:p>
    <w:p w:rsidR="000124AC" w:rsidRPr="000124AC" w:rsidRDefault="000124AC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4AC">
        <w:rPr>
          <w:rFonts w:ascii="Times New Roman" w:hAnsi="Times New Roman" w:cs="Times New Roman"/>
          <w:color w:val="000000"/>
          <w:sz w:val="24"/>
          <w:szCs w:val="24"/>
        </w:rPr>
        <w:t>Принципы диагностики. Принципы современного лечения, реабилитации. Основные группы</w:t>
      </w:r>
    </w:p>
    <w:p w:rsidR="000124AC" w:rsidRPr="000124AC" w:rsidRDefault="000124AC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4AC">
        <w:rPr>
          <w:rFonts w:ascii="Times New Roman" w:hAnsi="Times New Roman" w:cs="Times New Roman"/>
          <w:color w:val="000000"/>
          <w:sz w:val="24"/>
          <w:szCs w:val="24"/>
        </w:rPr>
        <w:t>препаратов, применяемых при лечении болезней органов дыхания. Профилактика бронхитов,</w:t>
      </w:r>
    </w:p>
    <w:p w:rsidR="000124AC" w:rsidRPr="000124AC" w:rsidRDefault="000124AC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4AC">
        <w:rPr>
          <w:rFonts w:ascii="Times New Roman" w:hAnsi="Times New Roman" w:cs="Times New Roman"/>
          <w:color w:val="000000"/>
          <w:sz w:val="24"/>
          <w:szCs w:val="24"/>
        </w:rPr>
        <w:t>пневмоний и бронхиальной астмы.</w:t>
      </w:r>
    </w:p>
    <w:p w:rsidR="000712C7" w:rsidRPr="000124AC" w:rsidRDefault="000124AC" w:rsidP="000124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712C7"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="000712C7" w:rsidRPr="000124AC">
        <w:rPr>
          <w:rFonts w:ascii="Times New Roman" w:hAnsi="Times New Roman" w:cs="Times New Roman"/>
          <w:b/>
          <w:sz w:val="24"/>
          <w:szCs w:val="24"/>
        </w:rPr>
        <w:t>10:</w:t>
      </w:r>
      <w:r w:rsidR="001F2457"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гнойных заболеваниях легких. Сестринский процесс при туберкулезе.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Сестринский процесс при абсцессе легкого, плеврите и бронхоэктатической болезни. Симптомы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гнойных заболеваний легких, плевритов. Принципы диагностики и лечения. Варианты дренажных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положений. Основные группы лекарственных препаратов. Профилактика гнойных заболеваний легких.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Сестринский процесс при туберкулезе легких. Современная эпидемиология. Причины развития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туберкулеза легких. Формы туберкулеза. Симптомы и проблемы пациента.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Медико-социальные</w:t>
      </w:r>
      <w:proofErr w:type="gramEnd"/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семьи, имеющей пациента с туберкулезом. Психологические особенности пациентов,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страдающих туберкулезом. Особенности течения в пожилом и старческом возрасте. Возможные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осложнения. Тактика медсестры. Принципы диагностики и лечения. Роль медсестры. Специфическая и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неспецифическая профилактика. Реабилитация пациентов с туберкулезом.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2C7" w:rsidRPr="000124AC" w:rsidRDefault="000712C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Pr="000124AC">
        <w:rPr>
          <w:rFonts w:ascii="Times New Roman" w:hAnsi="Times New Roman" w:cs="Times New Roman"/>
          <w:b/>
          <w:sz w:val="24"/>
          <w:szCs w:val="24"/>
        </w:rPr>
        <w:t>11:</w:t>
      </w:r>
      <w:r w:rsidR="001F2457"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патологии желудка и кишечника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Анатомо-физиологические особенности органов пищеварения. Сестринский процесс при остром и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хроническом гастрите, язвенной болезни желудка и 12-перстной кишки, при болезнях кишечника.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медицинское значение. Определение. Этиология. Факторы риска. Причины. Современная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классификация. Основные клинические проявления. Осложнения. Особенности сестринского процесса.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пациента. Тактика медсестры при осложнениях. Принципы диагностики. Роль медсестры в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больных к лабораторным и инструментальным исследованиям. Принципы современного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лечения. Особенности диетотерапии (лечебные столы №1, 2, 3, 4).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2C7" w:rsidRPr="000124AC" w:rsidRDefault="000712C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Pr="000124AC">
        <w:rPr>
          <w:rFonts w:ascii="Times New Roman" w:hAnsi="Times New Roman" w:cs="Times New Roman"/>
          <w:b/>
          <w:sz w:val="24"/>
          <w:szCs w:val="24"/>
        </w:rPr>
        <w:t>12:</w:t>
      </w:r>
      <w:r w:rsidR="001F2457"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заболеваниях печени, желчного пузыря и поджелудочной железы</w:t>
      </w:r>
    </w:p>
    <w:p w:rsidR="000124AC" w:rsidRPr="000124AC" w:rsidRDefault="000124AC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4AC">
        <w:rPr>
          <w:rFonts w:ascii="Times New Roman" w:hAnsi="Times New Roman" w:cs="Times New Roman"/>
          <w:color w:val="000000"/>
          <w:sz w:val="24"/>
          <w:szCs w:val="24"/>
        </w:rPr>
        <w:t xml:space="preserve">Сестринский процесс при хронических холециститах, </w:t>
      </w:r>
      <w:proofErr w:type="spellStart"/>
      <w:r w:rsidRPr="000124AC">
        <w:rPr>
          <w:rFonts w:ascii="Times New Roman" w:hAnsi="Times New Roman" w:cs="Times New Roman"/>
          <w:color w:val="000000"/>
          <w:sz w:val="24"/>
          <w:szCs w:val="24"/>
        </w:rPr>
        <w:t>желчекаменной</w:t>
      </w:r>
      <w:proofErr w:type="spellEnd"/>
      <w:r w:rsidRPr="000124AC">
        <w:rPr>
          <w:rFonts w:ascii="Times New Roman" w:hAnsi="Times New Roman" w:cs="Times New Roman"/>
          <w:color w:val="000000"/>
          <w:sz w:val="24"/>
          <w:szCs w:val="24"/>
        </w:rPr>
        <w:t xml:space="preserve"> болезни, хронических</w:t>
      </w:r>
    </w:p>
    <w:p w:rsidR="000124AC" w:rsidRPr="000124AC" w:rsidRDefault="000124AC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24AC">
        <w:rPr>
          <w:rFonts w:ascii="Times New Roman" w:hAnsi="Times New Roman" w:cs="Times New Roman"/>
          <w:color w:val="000000"/>
          <w:sz w:val="24"/>
          <w:szCs w:val="24"/>
        </w:rPr>
        <w:t>панкреатитах</w:t>
      </w:r>
      <w:proofErr w:type="gramEnd"/>
      <w:r w:rsidRPr="000124AC">
        <w:rPr>
          <w:rFonts w:ascii="Times New Roman" w:hAnsi="Times New Roman" w:cs="Times New Roman"/>
          <w:color w:val="000000"/>
          <w:sz w:val="24"/>
          <w:szCs w:val="24"/>
        </w:rPr>
        <w:t>, хронических гепатитах, циррозе печени. Анатомо-физиологические особенности органов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пищеварения. Социальное и медицинское значение. Определение. Этиология. Факторы риска.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Причины. Современная классификация. Основные клинические проявления. Осложнения. Проблемы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пациента. Тактика медсестры при осложнениях. Принципы диагностики. Роль медсестры в подготовке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больных к лабораторным и инструментальным исследованиям. Принципы современного лечения.</w:t>
      </w:r>
      <w:r w:rsidR="009E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AC">
        <w:rPr>
          <w:rFonts w:ascii="Times New Roman" w:hAnsi="Times New Roman" w:cs="Times New Roman"/>
          <w:color w:val="000000"/>
          <w:sz w:val="24"/>
          <w:szCs w:val="24"/>
        </w:rPr>
        <w:t>Особенности диетотерапии.</w:t>
      </w:r>
    </w:p>
    <w:p w:rsidR="009E32AE" w:rsidRDefault="009E32AE" w:rsidP="00012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457" w:rsidRPr="000124AC" w:rsidRDefault="000712C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Pr="000124AC">
        <w:rPr>
          <w:rFonts w:ascii="Times New Roman" w:hAnsi="Times New Roman" w:cs="Times New Roman"/>
          <w:b/>
          <w:sz w:val="24"/>
          <w:szCs w:val="24"/>
        </w:rPr>
        <w:t>13:</w:t>
      </w:r>
      <w:r w:rsidR="001F2457"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Сестринский процесс при пиелонефритах, </w:t>
      </w:r>
      <w:proofErr w:type="spellStart"/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гломерулонефритах</w:t>
      </w:r>
      <w:proofErr w:type="spellEnd"/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0712C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мочекаменной болезни и хронической почечной недостаточности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Анатомо-физиологические особенности органов почек. Сестринский процесс при 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остром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хроническом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пиелонефрите,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гломерулонефрите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хрони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почечной недостаточности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мочекаменной болезни. Социальное и медицинское значение. Определение. Этиология. Причины,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предрасполагающие факторы пиелонефритов,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гломерулонефритов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хронической почечной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 и мочекаменной болезни. Современная классификация. Основные клинические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проявления. Осложнения, особенности сестринского процесса. Проблемы пациента. Тактика медсестры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осложнениях. Принципы диагностики. Роль медсестры в подготовке больных к лабораторным и</w:t>
      </w:r>
      <w:r w:rsidR="009E3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инструментальным исследованиям. Принципы современного лечения. Особенности диетотерапии.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2C7" w:rsidRPr="000124AC" w:rsidRDefault="000712C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Pr="000124AC">
        <w:rPr>
          <w:rFonts w:ascii="Times New Roman" w:hAnsi="Times New Roman" w:cs="Times New Roman"/>
          <w:b/>
          <w:sz w:val="24"/>
          <w:szCs w:val="24"/>
        </w:rPr>
        <w:t>14:</w:t>
      </w:r>
      <w:r w:rsidR="001F2457"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анемиях. Сестринский процесс при</w:t>
      </w:r>
      <w:r w:rsidR="001F2457"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лейкозах.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Анатомо-физиологические особенности системы крови. Нормальные показатели клинического анализа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крови. Сестринский процесс при анемиях, лейкозах, геморрагических диатезах. Социальное и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значение. Определение. Этиология. Факторы риска.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Причины. Современная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классификация. Основные клинические проявления. Роль медсестры в подготовке больных к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лабораторным и инструментальным исследованиям. Принципы современного лечения. Особенности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диетотерапии.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2C7" w:rsidRPr="000124AC" w:rsidRDefault="000712C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="001F2457" w:rsidRPr="000124AC">
        <w:rPr>
          <w:rFonts w:ascii="Times New Roman" w:hAnsi="Times New Roman" w:cs="Times New Roman"/>
          <w:b/>
          <w:sz w:val="24"/>
          <w:szCs w:val="24"/>
        </w:rPr>
        <w:t xml:space="preserve">15: </w:t>
      </w:r>
      <w:r w:rsidR="001F2457"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ревматоидном артрите и деформирующем</w:t>
      </w:r>
      <w:r w:rsidR="001F2457"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2457" w:rsidRPr="00144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остеоартрозе</w:t>
      </w:r>
      <w:proofErr w:type="spellEnd"/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Анатомо-физиологические особенности костно-мышечной системы. Сестринский процесс при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ревматоидном артрите, деформирующем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остеоартрозе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информации (осмотр, пальпация суставов).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функционального состояния суставов. Основные клинические проявления. Проблемы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пациента. Настоящие, потенциальные и приобретенные. Современные принципы диагностики лечения,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реабилитации. Основные группы лекарственных препаратов и их механизм действия.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семьи в профилактике заболеваний и реабилитации. Особенности ЛФК и массажа при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ревматоидном артрите и деформирующем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остеоартрозе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457" w:rsidRPr="000124AC" w:rsidRDefault="001F245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>Тема № 1</w:t>
      </w:r>
      <w:r w:rsidRPr="000124AC">
        <w:rPr>
          <w:rFonts w:ascii="Times New Roman" w:hAnsi="Times New Roman" w:cs="Times New Roman"/>
          <w:b/>
          <w:sz w:val="24"/>
          <w:szCs w:val="24"/>
        </w:rPr>
        <w:t>6</w:t>
      </w:r>
      <w:r w:rsidRPr="000124AC">
        <w:rPr>
          <w:rFonts w:ascii="Times New Roman" w:hAnsi="Times New Roman" w:cs="Times New Roman"/>
          <w:b/>
          <w:sz w:val="24"/>
          <w:szCs w:val="24"/>
        </w:rPr>
        <w:t>:</w:t>
      </w:r>
      <w:r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Сестринский процесс при сахарном диабете, диффузно - токсическом зобе,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гипотиреозе</w:t>
      </w:r>
      <w:proofErr w:type="gramEnd"/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Анатомо-физиологические особенности эндокринной системы. Сестринский процесс при сахарном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диабете, заболеваниях щитовидной железы. Социальное и медицинское значение. Определение.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Этиология. Факторы риска. Причины. Современная классификация. Основные клинические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проявления. Осложнения, особенности сестринского процесса. Проблемы пациента. Особенности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 пациентами с заболеваниями щитовидной железы с учетом нарушений со стороны нервно-психической системы. Тактика медсестры при осложнениях (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гипогликемические комы,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гипогликемическое состояние, тиреотоксический криз, гипертонический криз, коматозное состояние).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диагностики. Роль медсестры в подготовке больных к лабораторным и инструментальным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исследованиям. Принципы современного лечения. Особенности диетотерапии (диеты №9, №8). Роль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медсестры, семья в лечении, профилактике, реабилитации больных. Особенности сестринского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за больными пожилого и старческого возраста. Образовательные программы по</w:t>
      </w:r>
      <w:r w:rsidR="00144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сахарного диабета.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457" w:rsidRPr="000124AC" w:rsidRDefault="001F2457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4AC">
        <w:rPr>
          <w:rFonts w:ascii="Times New Roman" w:hAnsi="Times New Roman" w:cs="Times New Roman"/>
          <w:b/>
          <w:sz w:val="24"/>
          <w:szCs w:val="24"/>
        </w:rPr>
        <w:t>Тема № 1</w:t>
      </w:r>
      <w:r w:rsidRPr="000124AC">
        <w:rPr>
          <w:rFonts w:ascii="Times New Roman" w:hAnsi="Times New Roman" w:cs="Times New Roman"/>
          <w:b/>
          <w:sz w:val="24"/>
          <w:szCs w:val="24"/>
        </w:rPr>
        <w:t>7</w:t>
      </w:r>
      <w:r w:rsidRPr="000124AC">
        <w:rPr>
          <w:rFonts w:ascii="Times New Roman" w:hAnsi="Times New Roman" w:cs="Times New Roman"/>
          <w:b/>
          <w:sz w:val="24"/>
          <w:szCs w:val="24"/>
        </w:rPr>
        <w:t>:</w:t>
      </w:r>
      <w:r w:rsidRPr="0001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Сестринский процесс при аллергических реакциях </w:t>
      </w:r>
      <w:proofErr w:type="gramStart"/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немедленного</w:t>
      </w:r>
      <w:proofErr w:type="gramEnd"/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замедленного</w:t>
      </w:r>
    </w:p>
    <w:p w:rsidR="001F2457" w:rsidRPr="000124AC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учения об аллергии. Иммунная система, строение, ее функции. Причины развития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иммунодефицита, влияние на состояние организма. Определение аллергии. Современная</w:t>
      </w:r>
    </w:p>
    <w:p w:rsidR="000124AC" w:rsidRPr="000124AC" w:rsidRDefault="000124AC" w:rsidP="0001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эпидемиология аллергических заболеваний. Причины, факторы риска. Клинические признаки наиболее</w:t>
      </w:r>
      <w:r w:rsidR="008A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распространенных заболеваний (крапивница, отек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Квинке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лекарственные аллергии, поллинозы,</w:t>
      </w:r>
      <w:r w:rsidR="008A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бронхиальная астма). Особенности сестринского процесса при аллергических заболеваниях.</w:t>
      </w:r>
      <w:r w:rsidR="008A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принципы диагностики и лечения нарушений иммунной системы и аллергических</w:t>
      </w:r>
      <w:r w:rsidR="008A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заболеваний. Сестринское вмешательство при развитии неотложных состояний (крапивнице, отеке</w:t>
      </w:r>
      <w:r w:rsidR="008A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Квинке</w:t>
      </w:r>
      <w:proofErr w:type="spell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анафилактическом шоке, при приступе бронхиальной астмы). Первичная и вторичная</w:t>
      </w:r>
      <w:r w:rsidR="008A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аллергических заболеваний, образовательные программы профилактики бронхиальной</w:t>
      </w:r>
      <w:r w:rsidR="008A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астмы. «</w:t>
      </w:r>
      <w:proofErr w:type="gramStart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Астма-школы</w:t>
      </w:r>
      <w:proofErr w:type="gramEnd"/>
      <w:r w:rsidRPr="00012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F2457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457" w:rsidRPr="00664F63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664F63" w:rsidRDefault="005825F5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</w:t>
      </w:r>
      <w:r w:rsidRPr="00664F63">
        <w:rPr>
          <w:rFonts w:ascii="Times New Roman" w:hAnsi="Times New Roman" w:cs="Times New Roman"/>
          <w:sz w:val="24"/>
          <w:szCs w:val="24"/>
        </w:rPr>
        <w:lastRenderedPageBreak/>
        <w:t xml:space="preserve">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2A340A" w:rsidRPr="00664F63" w:rsidRDefault="002A340A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11A" w:rsidRPr="00CC611A" w:rsidRDefault="00CC611A" w:rsidP="00C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B4CB6"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Мухина С.А., </w:t>
      </w:r>
      <w:proofErr w:type="spell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Тарновская</w:t>
      </w:r>
      <w:proofErr w:type="spell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Практическое руководство к предмету «Основы сестринского</w:t>
      </w:r>
    </w:p>
    <w:p w:rsidR="00CC611A" w:rsidRPr="00CC611A" w:rsidRDefault="00CC611A" w:rsidP="00C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дела», «ГЭОТАР-Медиа»: 2013 – 512 с ил.</w:t>
      </w:r>
    </w:p>
    <w:p w:rsidR="00CC611A" w:rsidRPr="00CC611A" w:rsidRDefault="00CC611A" w:rsidP="00C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4CB6"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Федюкович</w:t>
      </w:r>
      <w:proofErr w:type="spell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Н.И.,Рубан</w:t>
      </w:r>
      <w:proofErr w:type="spell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 Фармакология – Изд. 10-е </w:t>
      </w:r>
      <w:proofErr w:type="spell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доп.- Ростов н/Д:</w:t>
      </w:r>
      <w:r w:rsidR="00BB4CB6"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Феникс,2013.-700 с ил.</w:t>
      </w:r>
    </w:p>
    <w:p w:rsidR="00CC611A" w:rsidRPr="00CC611A" w:rsidRDefault="00CC611A" w:rsidP="00CC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B4CB6"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Корлетт</w:t>
      </w:r>
      <w:proofErr w:type="spell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Е.Н.,. Ллойд П.В, </w:t>
      </w:r>
      <w:proofErr w:type="spell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Тарлинг</w:t>
      </w:r>
      <w:proofErr w:type="spell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К.; сост. и пер. с англ. Борисова А.В.; под ред. </w:t>
      </w:r>
      <w:proofErr w:type="spell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Скоромца</w:t>
      </w:r>
      <w:proofErr w:type="spell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BB4CB6"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«Руководство по перемещению пациентов» – СПб</w:t>
      </w:r>
      <w:proofErr w:type="gramStart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Политехника», 2009 г. – 313 с.</w:t>
      </w:r>
    </w:p>
    <w:p w:rsidR="00BB4CB6" w:rsidRPr="00BB4CB6" w:rsidRDefault="00BB4CB6" w:rsidP="00B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Лычев</w:t>
      </w:r>
      <w:proofErr w:type="spellEnd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Карманов В.К. Сестринское дело в терапии. С курсом </w:t>
      </w:r>
      <w:proofErr w:type="gramStart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</w:t>
      </w:r>
      <w:proofErr w:type="gramEnd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</w:t>
      </w:r>
    </w:p>
    <w:p w:rsidR="00BB4CB6" w:rsidRPr="00BB4CB6" w:rsidRDefault="00BB4CB6" w:rsidP="00B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помощи.- М.: Форум-Инфра </w:t>
      </w:r>
      <w:proofErr w:type="gramStart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,2007, стр. 154-224.</w:t>
      </w:r>
    </w:p>
    <w:p w:rsidR="00BB4CB6" w:rsidRPr="00BB4CB6" w:rsidRDefault="00BB4CB6" w:rsidP="00BB4C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hAnsi="Times New Roman" w:cs="Times New Roman"/>
          <w:sz w:val="24"/>
          <w:szCs w:val="24"/>
        </w:rPr>
        <w:t xml:space="preserve">5. </w:t>
      </w: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Анатомия человека. В двух томах. Авт.: М.Р. </w:t>
      </w:r>
      <w:proofErr w:type="spellStart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Я. Бочаров, Д.Б. Никитюк и др. / Под ред. М.Р. </w:t>
      </w:r>
      <w:proofErr w:type="spellStart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Сапина</w:t>
      </w:r>
      <w:proofErr w:type="spellEnd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.— Изд. 5-е, </w:t>
      </w:r>
      <w:proofErr w:type="spellStart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доп.— М.: Медицина.— 2001.— 640 с.</w:t>
      </w:r>
    </w:p>
    <w:p w:rsidR="00BB4CB6" w:rsidRPr="00BB4CB6" w:rsidRDefault="00BB4CB6" w:rsidP="00BB4C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Программа развития сестринского дела в Российской Федерации на 2010 – 2020 годы.</w:t>
      </w:r>
    </w:p>
    <w:p w:rsidR="00BB4CB6" w:rsidRPr="00BB4CB6" w:rsidRDefault="00BB4CB6" w:rsidP="00B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Минздрава.</w:t>
      </w:r>
    </w:p>
    <w:p w:rsidR="00BB4CB6" w:rsidRPr="00BB4CB6" w:rsidRDefault="00BB4CB6" w:rsidP="00B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ФЗ РФ «Об основах охраны здоровья граждан в Российской Федерации» № 323-83 от 21.11.2011.</w:t>
      </w:r>
    </w:p>
    <w:p w:rsidR="00BB4CB6" w:rsidRPr="00BB4CB6" w:rsidRDefault="00BB4CB6" w:rsidP="00B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Нормативные документы, регламентирующие работу ЛПО в области системы и политики</w:t>
      </w:r>
    </w:p>
    <w:p w:rsidR="00BB4CB6" w:rsidRPr="00BB4CB6" w:rsidRDefault="00BB4CB6" w:rsidP="00BB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здравоохранения.</w:t>
      </w:r>
    </w:p>
    <w:p w:rsidR="00245D49" w:rsidRPr="00664F63" w:rsidRDefault="00245D49" w:rsidP="006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664F63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664F63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lastRenderedPageBreak/>
        <w:t>Итоговая аттестация</w:t>
      </w:r>
    </w:p>
    <w:p w:rsidR="00A340CD" w:rsidRPr="00664F63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664F63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2A340A" w:rsidRPr="002A340A" w:rsidRDefault="002A340A" w:rsidP="002A34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 </w:t>
      </w: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развитию ревматизма предрасполагает</w:t>
      </w:r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нерациональное питание</w:t>
      </w:r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гиподинамия</w:t>
      </w:r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стрессы</w:t>
      </w:r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очаг хронической инфекции</w:t>
      </w:r>
    </w:p>
    <w:p w:rsidR="002A340A" w:rsidRPr="002A340A" w:rsidRDefault="002A340A" w:rsidP="002A34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</w:t>
      </w: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Основными причинами развития заболеваний </w:t>
      </w:r>
      <w:proofErr w:type="gramStart"/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сердечно-сосудистой</w:t>
      </w:r>
      <w:proofErr w:type="gramEnd"/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системы являются</w:t>
      </w:r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неблагоприятные климатические условия</w:t>
      </w:r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природно-экологические факторы</w:t>
      </w:r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гиперлипидемия</w:t>
      </w:r>
      <w:proofErr w:type="spellEnd"/>
    </w:p>
    <w:p w:rsidR="002A340A" w:rsidRPr="002A340A" w:rsidRDefault="002A340A" w:rsidP="002A340A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A34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рациональное питание</w:t>
      </w:r>
    </w:p>
    <w:p w:rsidR="00F30B3D" w:rsidRPr="00F30B3D" w:rsidRDefault="00F30B3D" w:rsidP="00F30B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 </w:t>
      </w:r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заболеваниях </w:t>
      </w:r>
      <w:proofErr w:type="gramStart"/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сердечно-сосудистой</w:t>
      </w:r>
      <w:proofErr w:type="gramEnd"/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системы с нерезким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рушением кровообращения применя</w:t>
      </w:r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ется диета</w:t>
      </w:r>
    </w:p>
    <w:p w:rsidR="00F30B3D" w:rsidRPr="00F30B3D" w:rsidRDefault="00F30B3D" w:rsidP="00F30B3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вариант с </w:t>
      </w:r>
      <w:proofErr w:type="gramStart"/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механическим</w:t>
      </w:r>
      <w:proofErr w:type="gramEnd"/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химическим </w:t>
      </w:r>
      <w:proofErr w:type="spellStart"/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щажением</w:t>
      </w:r>
      <w:proofErr w:type="spellEnd"/>
    </w:p>
    <w:p w:rsidR="00F30B3D" w:rsidRPr="00F30B3D" w:rsidRDefault="00F30B3D" w:rsidP="00F30B3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вариант с повышенным количеством белка</w:t>
      </w:r>
    </w:p>
    <w:p w:rsidR="00F30B3D" w:rsidRPr="00F30B3D" w:rsidRDefault="00F30B3D" w:rsidP="00F30B3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основной вариант </w:t>
      </w:r>
      <w:proofErr w:type="gramStart"/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стандартной</w:t>
      </w:r>
      <w:proofErr w:type="gramEnd"/>
    </w:p>
    <w:p w:rsidR="00F30B3D" w:rsidRPr="00F30B3D" w:rsidRDefault="00F30B3D" w:rsidP="00F30B3D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0B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вариант с пониженным количеством белка</w:t>
      </w:r>
    </w:p>
    <w:p w:rsidR="004C1181" w:rsidRPr="004C1181" w:rsidRDefault="004C1181" w:rsidP="004C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 </w:t>
      </w: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Основной симптом бронхита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головная боль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слабость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лёгочное </w:t>
      </w:r>
      <w:proofErr w:type="spellStart"/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кровотечениее</w:t>
      </w:r>
      <w:proofErr w:type="spellEnd"/>
    </w:p>
    <w:p w:rsidR="004C1181" w:rsidRPr="004C1181" w:rsidRDefault="004C1181" w:rsidP="004C1181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кашель с мокротой</w:t>
      </w:r>
    </w:p>
    <w:p w:rsidR="004C1181" w:rsidRPr="004C1181" w:rsidRDefault="004C1181" w:rsidP="004C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</w:t>
      </w: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Основной фактор риска хронического бронхита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курение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бактериальная и вирусная инфекция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переохлаждение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гиповитаминоз</w:t>
      </w:r>
    </w:p>
    <w:p w:rsidR="004C1181" w:rsidRPr="004C1181" w:rsidRDefault="004C1181" w:rsidP="004C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</w:t>
      </w: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Основной симптом </w:t>
      </w:r>
      <w:proofErr w:type="spellStart"/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обструктивного</w:t>
      </w:r>
      <w:proofErr w:type="spellEnd"/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бронхита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головная боль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недомогание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повышение температуры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одышка</w:t>
      </w:r>
    </w:p>
    <w:p w:rsidR="004C1181" w:rsidRPr="004C1181" w:rsidRDefault="004C1181" w:rsidP="004C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 </w:t>
      </w: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Наиболее информативный метод диагностики пневмонии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анализ крови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анализ мокроты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плевральная пункция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рентгенография органов грудной клетки</w:t>
      </w:r>
    </w:p>
    <w:p w:rsidR="004C1181" w:rsidRPr="004C1181" w:rsidRDefault="004C1181" w:rsidP="004C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8. </w:t>
      </w: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Этиотропное лечение пневмонии – это применение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бронхолитиков</w:t>
      </w:r>
      <w:proofErr w:type="spellEnd"/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отхаркивающих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антибиотиков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г) жаропонижающих</w:t>
      </w:r>
    </w:p>
    <w:p w:rsidR="004C1181" w:rsidRPr="004C1181" w:rsidRDefault="004C1181" w:rsidP="004C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9. </w:t>
      </w: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Осложнение пневмонии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лёгочное кровотечение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лихорадка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боль в грудной клетке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острая дыхательная недостаточность</w:t>
      </w:r>
    </w:p>
    <w:p w:rsidR="004C1181" w:rsidRPr="004C1181" w:rsidRDefault="004C1181" w:rsidP="004C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10. </w:t>
      </w: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критическом снижении температуры тела может развиться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острая дыхательная недостаточность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коллапс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острая коронарная недостаточность</w:t>
      </w:r>
    </w:p>
    <w:p w:rsidR="004C1181" w:rsidRPr="004C1181" w:rsidRDefault="004C1181" w:rsidP="004C1181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C11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легочное кровотечение</w:t>
      </w:r>
    </w:p>
    <w:p w:rsidR="00C757FF" w:rsidRPr="00C757FF" w:rsidRDefault="00C757FF" w:rsidP="00C757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11. </w:t>
      </w:r>
      <w:r w:rsidRPr="00C75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Профилактика обострения бронхиальной астмы</w:t>
      </w:r>
    </w:p>
    <w:p w:rsidR="00C757FF" w:rsidRPr="00C757FF" w:rsidRDefault="00C757FF" w:rsidP="00C757FF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5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усиление питания</w:t>
      </w:r>
    </w:p>
    <w:p w:rsidR="00C757FF" w:rsidRPr="00C757FF" w:rsidRDefault="00C757FF" w:rsidP="00C757FF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5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устранение гиподинамии</w:t>
      </w:r>
    </w:p>
    <w:p w:rsidR="00C757FF" w:rsidRPr="00C757FF" w:rsidRDefault="00C757FF" w:rsidP="00C757FF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5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отказ от алкоголя</w:t>
      </w:r>
    </w:p>
    <w:p w:rsidR="00C757FF" w:rsidRPr="00C757FF" w:rsidRDefault="00C757FF" w:rsidP="00C757FF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757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прекращение контакта с аллергеном</w:t>
      </w:r>
    </w:p>
    <w:p w:rsidR="00F168C8" w:rsidRPr="00F168C8" w:rsidRDefault="00F168C8" w:rsidP="00F168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12. </w:t>
      </w: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лечении гипертонической болезни применяются</w:t>
      </w:r>
    </w:p>
    <w:p w:rsidR="00F168C8" w:rsidRPr="00F168C8" w:rsidRDefault="00F168C8" w:rsidP="00F168C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эналаприл</w:t>
      </w:r>
      <w:proofErr w:type="spellEnd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атенолол</w:t>
      </w:r>
      <w:proofErr w:type="spellEnd"/>
    </w:p>
    <w:p w:rsidR="00F168C8" w:rsidRPr="00F168C8" w:rsidRDefault="00F168C8" w:rsidP="00F168C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дигоксин</w:t>
      </w:r>
      <w:proofErr w:type="spellEnd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димедрол</w:t>
      </w:r>
    </w:p>
    <w:p w:rsidR="00F168C8" w:rsidRPr="00F168C8" w:rsidRDefault="00F168C8" w:rsidP="00F168C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целанид</w:t>
      </w:r>
      <w:proofErr w:type="spellEnd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корвалол</w:t>
      </w:r>
      <w:proofErr w:type="spellEnd"/>
    </w:p>
    <w:p w:rsidR="00F168C8" w:rsidRPr="00F168C8" w:rsidRDefault="00F168C8" w:rsidP="00F168C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атропин, </w:t>
      </w:r>
      <w:proofErr w:type="spellStart"/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аспаркам</w:t>
      </w:r>
      <w:proofErr w:type="spellEnd"/>
    </w:p>
    <w:p w:rsidR="00F168C8" w:rsidRPr="00F168C8" w:rsidRDefault="00F168C8" w:rsidP="00F168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13. </w:t>
      </w: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Осложнения гипертонической болезни</w:t>
      </w:r>
    </w:p>
    <w:p w:rsidR="00F168C8" w:rsidRPr="00F168C8" w:rsidRDefault="00F168C8" w:rsidP="00F168C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инсульт, инфаркт миокарда</w:t>
      </w:r>
    </w:p>
    <w:p w:rsidR="00F168C8" w:rsidRPr="00F168C8" w:rsidRDefault="00F168C8" w:rsidP="00F168C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обморок, коллапс</w:t>
      </w:r>
    </w:p>
    <w:p w:rsidR="00F168C8" w:rsidRPr="00F168C8" w:rsidRDefault="00F168C8" w:rsidP="00F168C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ревматизм, порок сердца</w:t>
      </w:r>
    </w:p>
    <w:p w:rsidR="00F168C8" w:rsidRPr="00F168C8" w:rsidRDefault="00F168C8" w:rsidP="00F168C8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68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пневмония, плеврит</w:t>
      </w:r>
    </w:p>
    <w:p w:rsidR="009D2A22" w:rsidRPr="009D2A22" w:rsidRDefault="009D2A22" w:rsidP="009D2A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14. </w:t>
      </w: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Основная причина ишемической болезни сердца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атеросклероз коронарных артерий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гипертоническая болезнь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пороки сердца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ревматизм</w:t>
      </w:r>
    </w:p>
    <w:p w:rsidR="009D2A22" w:rsidRPr="009D2A22" w:rsidRDefault="009D2A22" w:rsidP="009D2A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15. </w:t>
      </w: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Независимое сестринское вмешательство при появлении сжимающей загрудинной боли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введение морфина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введение анальгина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нитроглицерин под язык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димедрол внутрь</w:t>
      </w:r>
    </w:p>
    <w:p w:rsidR="009D2A22" w:rsidRPr="009D2A22" w:rsidRDefault="009D2A22" w:rsidP="009D2A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16. </w:t>
      </w: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обмороке медсестра придает пациенту положение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с приподнятым изголовьем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 приподнятыми ногами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на левом боку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на правом боку</w:t>
      </w:r>
    </w:p>
    <w:p w:rsidR="009D2A22" w:rsidRPr="009D2A22" w:rsidRDefault="009D2A22" w:rsidP="009D2A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18. </w:t>
      </w: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Основная причина хронического гастрита типа</w:t>
      </w:r>
      <w:proofErr w:type="gramStart"/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отравление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аутоиммунные нарушения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нерациональное питание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хеликобактериальная</w:t>
      </w:r>
      <w:proofErr w:type="spellEnd"/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инфекция</w:t>
      </w:r>
    </w:p>
    <w:p w:rsidR="009D2A22" w:rsidRPr="009D2A22" w:rsidRDefault="009D2A22" w:rsidP="009D2A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19. </w:t>
      </w: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рацион питания изделия из злаков включают потому, что они содержат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витамины группы</w:t>
      </w:r>
      <w:proofErr w:type="gramStart"/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растительную клетчатку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углеводы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микроэлементы</w:t>
      </w:r>
    </w:p>
    <w:p w:rsidR="009D2A22" w:rsidRPr="009D2A22" w:rsidRDefault="009D2A22" w:rsidP="009D2A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20. </w:t>
      </w: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хронического гастрита характерны синдромы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диспепсический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гипертонический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интоксикационный</w:t>
      </w:r>
    </w:p>
    <w:p w:rsidR="009D2A22" w:rsidRPr="009D2A22" w:rsidRDefault="009D2A22" w:rsidP="009D2A22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г) </w:t>
      </w:r>
      <w:proofErr w:type="spellStart"/>
      <w:r w:rsidRPr="009D2A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гепатолиенальный</w:t>
      </w:r>
      <w:proofErr w:type="spellEnd"/>
    </w:p>
    <w:p w:rsidR="00C80ED5" w:rsidRPr="00C80ED5" w:rsidRDefault="00C80ED5" w:rsidP="00C80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21. </w:t>
      </w: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Наиболее эффективный стимулятор желудочной секреции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капустный отвар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мясной бульон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пробный завтрак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гистамин</w:t>
      </w:r>
    </w:p>
    <w:p w:rsidR="00C80ED5" w:rsidRPr="00C80ED5" w:rsidRDefault="00C80ED5" w:rsidP="00C80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22. </w:t>
      </w: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Парентеральный раздражитель желудочной секреции м/</w:t>
      </w:r>
      <w:proofErr w:type="gramStart"/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вводит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через зонд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внутривенно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внутримышечно</w:t>
      </w:r>
    </w:p>
    <w:p w:rsidR="00C80ED5" w:rsidRPr="00C80ED5" w:rsidRDefault="00C80ED5" w:rsidP="00C80ED5">
      <w:pPr>
        <w:shd w:val="clear" w:color="auto" w:fill="FFFFFF"/>
        <w:spacing w:after="0" w:line="240" w:lineRule="auto"/>
        <w:ind w:left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80E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подкожно</w:t>
      </w:r>
    </w:p>
    <w:p w:rsidR="003235C0" w:rsidRPr="003235C0" w:rsidRDefault="003235C0" w:rsidP="003235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23. </w:t>
      </w: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Независимое сестринское вмешательство при желудочном кровотечении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промывание желудка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очистительная клизма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грелка на живот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пузырь со льдом на живот</w:t>
      </w:r>
    </w:p>
    <w:p w:rsidR="003235C0" w:rsidRPr="003235C0" w:rsidRDefault="003235C0" w:rsidP="003235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24. </w:t>
      </w: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Элемент подготовки пациента к </w:t>
      </w:r>
      <w:proofErr w:type="spellStart"/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ректороманоскопии</w:t>
      </w:r>
      <w:proofErr w:type="spellEnd"/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масляная клизма утром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сифонная клизма вечером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сифонная клизма утром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очистительная клизма накануне и за 2 часа до исследования</w:t>
      </w:r>
    </w:p>
    <w:p w:rsidR="003235C0" w:rsidRPr="003235C0" w:rsidRDefault="003235C0" w:rsidP="003235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25. </w:t>
      </w: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диагностики цирроза печени проводится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желудочное зондирование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дуоденальное зондирование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фиброгастроскопия</w:t>
      </w:r>
      <w:proofErr w:type="spellEnd"/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пункционная биопсия</w:t>
      </w:r>
    </w:p>
    <w:p w:rsidR="003235C0" w:rsidRPr="003235C0" w:rsidRDefault="003235C0" w:rsidP="003235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26. </w:t>
      </w: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Основная причина </w:t>
      </w:r>
      <w:proofErr w:type="gramStart"/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острого</w:t>
      </w:r>
      <w:proofErr w:type="gramEnd"/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пиелонефрита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восходящая инфекция мочевых путей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нерациональное питание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переохлаждение</w:t>
      </w:r>
    </w:p>
    <w:p w:rsidR="003235C0" w:rsidRPr="003235C0" w:rsidRDefault="003235C0" w:rsidP="003235C0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235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стрессы</w:t>
      </w:r>
    </w:p>
    <w:p w:rsidR="00273D48" w:rsidRPr="00273D48" w:rsidRDefault="00273D48" w:rsidP="00273D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27. </w:t>
      </w:r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лечении железодефицитной анемии используется</w:t>
      </w:r>
    </w:p>
    <w:p w:rsidR="00273D48" w:rsidRPr="00273D48" w:rsidRDefault="00273D48" w:rsidP="00273D4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аспаркам</w:t>
      </w:r>
      <w:proofErr w:type="spellEnd"/>
    </w:p>
    <w:p w:rsidR="00273D48" w:rsidRPr="00273D48" w:rsidRDefault="00273D48" w:rsidP="00273D4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аскорутин</w:t>
      </w:r>
      <w:proofErr w:type="spellEnd"/>
    </w:p>
    <w:p w:rsidR="00273D48" w:rsidRPr="00273D48" w:rsidRDefault="00273D48" w:rsidP="00273D4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актиферрин</w:t>
      </w:r>
      <w:proofErr w:type="spellEnd"/>
    </w:p>
    <w:p w:rsidR="00273D48" w:rsidRPr="00273D48" w:rsidRDefault="00273D48" w:rsidP="00273D4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273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цианокобаламин</w:t>
      </w:r>
      <w:proofErr w:type="spellEnd"/>
    </w:p>
    <w:p w:rsidR="004718E8" w:rsidRPr="004718E8" w:rsidRDefault="004718E8" w:rsidP="00471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28. </w:t>
      </w: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лечения острого лейкоза используют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НПВС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цитостатики</w:t>
      </w:r>
      <w:proofErr w:type="spellEnd"/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преднизолон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гипотензивные средства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ингаляционные </w:t>
      </w:r>
      <w:proofErr w:type="spellStart"/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глюкокортикоиды</w:t>
      </w:r>
      <w:proofErr w:type="spellEnd"/>
    </w:p>
    <w:p w:rsidR="004718E8" w:rsidRPr="004718E8" w:rsidRDefault="004718E8" w:rsidP="00471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29. </w:t>
      </w: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Препараты, чаще вызывающие аллергическую реакцию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антибиотики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диуретики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гипотензивные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цитостатики</w:t>
      </w:r>
      <w:proofErr w:type="spellEnd"/>
    </w:p>
    <w:p w:rsidR="004718E8" w:rsidRPr="004718E8" w:rsidRDefault="004718E8" w:rsidP="004718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30. </w:t>
      </w: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Возможные осложнения при отеке </w:t>
      </w:r>
      <w:proofErr w:type="spellStart"/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Квинке</w:t>
      </w:r>
      <w:proofErr w:type="spellEnd"/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асфиксия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кожный зуд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судороги</w:t>
      </w:r>
    </w:p>
    <w:p w:rsidR="004718E8" w:rsidRPr="004718E8" w:rsidRDefault="004718E8" w:rsidP="004718E8">
      <w:pPr>
        <w:shd w:val="clear" w:color="auto" w:fill="FFFFFF"/>
        <w:spacing w:after="0" w:line="240" w:lineRule="auto"/>
        <w:ind w:firstLine="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18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непроизвольное мочеиспускание</w:t>
      </w:r>
    </w:p>
    <w:p w:rsidR="00052F0D" w:rsidRDefault="00052F0D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664F63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ь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664F63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Default="00377BA6" w:rsidP="00377BA6"/>
    <w:p w:rsidR="00377BA6" w:rsidRDefault="00377BA6" w:rsidP="00377BA6">
      <w:r>
        <w:lastRenderedPageBreak/>
        <w:t xml:space="preserve"> </w:t>
      </w:r>
    </w:p>
    <w:p w:rsidR="00AE18FC" w:rsidRDefault="00377BA6">
      <w:r>
        <w:t xml:space="preserve"> </w:t>
      </w:r>
    </w:p>
    <w:sectPr w:rsidR="00AE18FC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C94"/>
    <w:rsid w:val="000712C7"/>
    <w:rsid w:val="0008240B"/>
    <w:rsid w:val="00082AEE"/>
    <w:rsid w:val="000A4BA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92BAC"/>
    <w:rsid w:val="001F0FA3"/>
    <w:rsid w:val="001F2457"/>
    <w:rsid w:val="00210705"/>
    <w:rsid w:val="00212BE5"/>
    <w:rsid w:val="00245D49"/>
    <w:rsid w:val="0025415D"/>
    <w:rsid w:val="00260B56"/>
    <w:rsid w:val="00263277"/>
    <w:rsid w:val="002644AF"/>
    <w:rsid w:val="00273D48"/>
    <w:rsid w:val="0029145F"/>
    <w:rsid w:val="002928D2"/>
    <w:rsid w:val="002A340A"/>
    <w:rsid w:val="002C1652"/>
    <w:rsid w:val="00316D85"/>
    <w:rsid w:val="003201A3"/>
    <w:rsid w:val="003235C0"/>
    <w:rsid w:val="00377BA6"/>
    <w:rsid w:val="003867F5"/>
    <w:rsid w:val="00391A93"/>
    <w:rsid w:val="003D7143"/>
    <w:rsid w:val="003D7FD3"/>
    <w:rsid w:val="003F72DE"/>
    <w:rsid w:val="004008CD"/>
    <w:rsid w:val="004347B9"/>
    <w:rsid w:val="004718E8"/>
    <w:rsid w:val="004A1862"/>
    <w:rsid w:val="004A434B"/>
    <w:rsid w:val="004B56AC"/>
    <w:rsid w:val="004C1181"/>
    <w:rsid w:val="004C1A72"/>
    <w:rsid w:val="0050742A"/>
    <w:rsid w:val="00510711"/>
    <w:rsid w:val="005410CE"/>
    <w:rsid w:val="005825F5"/>
    <w:rsid w:val="005A2DBC"/>
    <w:rsid w:val="00605791"/>
    <w:rsid w:val="00664F63"/>
    <w:rsid w:val="00682CA5"/>
    <w:rsid w:val="006923B1"/>
    <w:rsid w:val="006C37BF"/>
    <w:rsid w:val="006E3930"/>
    <w:rsid w:val="006E6099"/>
    <w:rsid w:val="00743008"/>
    <w:rsid w:val="0075274A"/>
    <w:rsid w:val="007A5496"/>
    <w:rsid w:val="007B1A3F"/>
    <w:rsid w:val="007C3637"/>
    <w:rsid w:val="007E5C1E"/>
    <w:rsid w:val="007F1A33"/>
    <w:rsid w:val="00876412"/>
    <w:rsid w:val="0089657C"/>
    <w:rsid w:val="008A3020"/>
    <w:rsid w:val="00913621"/>
    <w:rsid w:val="0092104C"/>
    <w:rsid w:val="00960232"/>
    <w:rsid w:val="00992325"/>
    <w:rsid w:val="009950BF"/>
    <w:rsid w:val="009A38C4"/>
    <w:rsid w:val="009D2A22"/>
    <w:rsid w:val="009E32AE"/>
    <w:rsid w:val="00A018D7"/>
    <w:rsid w:val="00A340CD"/>
    <w:rsid w:val="00A8045F"/>
    <w:rsid w:val="00AE18FC"/>
    <w:rsid w:val="00AE270D"/>
    <w:rsid w:val="00AF63AC"/>
    <w:rsid w:val="00B04E5B"/>
    <w:rsid w:val="00B11E7C"/>
    <w:rsid w:val="00B44E02"/>
    <w:rsid w:val="00B81B4B"/>
    <w:rsid w:val="00B83954"/>
    <w:rsid w:val="00BB4CB6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274E"/>
    <w:rsid w:val="00CA5176"/>
    <w:rsid w:val="00CC0D02"/>
    <w:rsid w:val="00CC611A"/>
    <w:rsid w:val="00CC6612"/>
    <w:rsid w:val="00CC6CCE"/>
    <w:rsid w:val="00CD09CF"/>
    <w:rsid w:val="00D047DC"/>
    <w:rsid w:val="00D15102"/>
    <w:rsid w:val="00D230BA"/>
    <w:rsid w:val="00D232A6"/>
    <w:rsid w:val="00D326CF"/>
    <w:rsid w:val="00D34B59"/>
    <w:rsid w:val="00D80805"/>
    <w:rsid w:val="00DC44B0"/>
    <w:rsid w:val="00DC7890"/>
    <w:rsid w:val="00E22C7A"/>
    <w:rsid w:val="00E44516"/>
    <w:rsid w:val="00E46D08"/>
    <w:rsid w:val="00E56F70"/>
    <w:rsid w:val="00EC5359"/>
    <w:rsid w:val="00EF4AD8"/>
    <w:rsid w:val="00F168C8"/>
    <w:rsid w:val="00F30B3D"/>
    <w:rsid w:val="00F8540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CCE8-DB7E-43C8-9D91-46D1965B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15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58</cp:revision>
  <cp:lastPrinted>2020-01-30T07:07:00Z</cp:lastPrinted>
  <dcterms:created xsi:type="dcterms:W3CDTF">2020-11-25T07:39:00Z</dcterms:created>
  <dcterms:modified xsi:type="dcterms:W3CDTF">2020-12-04T19:20:00Z</dcterms:modified>
</cp:coreProperties>
</file>